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77792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Калининград</w:t>
      </w:r>
    </w:p>
    <w:p w:rsidR="008E221A" w:rsidRPr="00F04F2F" w:rsidRDefault="00A5625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6</w:t>
      </w:r>
      <w:r w:rsidR="00525CB3">
        <w:rPr>
          <w:rFonts w:cs="Times New Roman"/>
          <w:b/>
          <w:color w:val="FF0000"/>
          <w:sz w:val="32"/>
          <w:szCs w:val="32"/>
        </w:rPr>
        <w:t xml:space="preserve"> </w:t>
      </w:r>
      <w:r w:rsidR="009D3310">
        <w:rPr>
          <w:rFonts w:cs="Times New Roman"/>
          <w:b/>
          <w:color w:val="FF0000"/>
          <w:sz w:val="32"/>
          <w:szCs w:val="32"/>
        </w:rPr>
        <w:t>февраля</w:t>
      </w:r>
      <w:r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4F2F">
        <w:rPr>
          <w:rFonts w:cs="Times New Roman"/>
          <w:b/>
          <w:color w:val="FF0000"/>
          <w:sz w:val="32"/>
          <w:szCs w:val="32"/>
        </w:rPr>
        <w:t>20</w:t>
      </w:r>
      <w:r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732FC6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9D3310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B46C90" w:rsidRDefault="00777927" w:rsidP="001F135C">
      <w:pPr>
        <w:jc w:val="center"/>
        <w:rPr>
          <w:b/>
          <w:sz w:val="24"/>
          <w:szCs w:val="24"/>
        </w:rPr>
      </w:pPr>
      <w:r w:rsidRPr="00777927">
        <w:rPr>
          <w:b/>
          <w:sz w:val="24"/>
          <w:szCs w:val="24"/>
        </w:rPr>
        <w:t>АКТУАЛЬНЫЕ ВОПРОСЫ СОВРЕМЕННОЙ НАУКИ</w:t>
      </w:r>
    </w:p>
    <w:p w:rsidR="00777927" w:rsidRPr="002B1CDF" w:rsidRDefault="00777927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  <w:bookmarkStart w:id="0" w:name="_GoBack"/>
      <w:bookmarkEnd w:id="0"/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7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845370" w:rsidRDefault="0084537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942666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5625A" w:rsidRPr="00A5625A">
        <w:rPr>
          <w:rFonts w:eastAsia="Calibri" w:cs="Times New Roman"/>
          <w:sz w:val="24"/>
          <w:szCs w:val="24"/>
        </w:rPr>
        <w:t xml:space="preserve">6 </w:t>
      </w:r>
      <w:r w:rsidR="009D3310">
        <w:rPr>
          <w:rFonts w:eastAsia="Calibri" w:cs="Times New Roman"/>
          <w:sz w:val="24"/>
          <w:szCs w:val="24"/>
        </w:rPr>
        <w:t>февраля</w:t>
      </w:r>
      <w:r w:rsidR="00A5625A" w:rsidRPr="00A5625A">
        <w:rPr>
          <w:rFonts w:eastAsia="Calibri" w:cs="Times New Roman"/>
          <w:sz w:val="24"/>
          <w:szCs w:val="24"/>
        </w:rPr>
        <w:t xml:space="preserve"> 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8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9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A5625A" w:rsidRPr="00A5625A">
        <w:rPr>
          <w:b/>
          <w:sz w:val="24"/>
        </w:rPr>
        <w:t xml:space="preserve">6 </w:t>
      </w:r>
      <w:r w:rsidR="009D3310">
        <w:rPr>
          <w:b/>
          <w:sz w:val="24"/>
        </w:rPr>
        <w:t>февраля</w:t>
      </w:r>
      <w:r w:rsidR="00A5625A" w:rsidRPr="00A5625A">
        <w:rPr>
          <w:b/>
          <w:sz w:val="24"/>
        </w:rPr>
        <w:t xml:space="preserve"> 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0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1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942666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9E71D6" w:rsidRPr="00BC7545" w:rsidRDefault="00942666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3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B46C90" w:rsidRDefault="00942666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4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7E1A7B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7E1A7B" w:rsidRPr="00A01FA9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</w:t>
      </w:r>
      <w:r w:rsidR="009D3310">
        <w:rPr>
          <w:rStyle w:val="a5"/>
        </w:rPr>
        <w:t>7 917 021 49 78 – секретарь редакции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lastRenderedPageBreak/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9D3310">
        <w:rPr>
          <w:rFonts w:cs="Times New Roman"/>
          <w:i/>
          <w:sz w:val="24"/>
          <w:szCs w:val="24"/>
        </w:rPr>
        <w:t>Данные об авторе(ах), название, аннтацию и ключевые слова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77927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42666"/>
    <w:rsid w:val="00974BD2"/>
    <w:rsid w:val="009918F4"/>
    <w:rsid w:val="009951A1"/>
    <w:rsid w:val="0099796D"/>
    <w:rsid w:val="009D3310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5625A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B2CB6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f@yandex.ru" TargetMode="External"/><Relationship Id="rId13" Type="http://schemas.openxmlformats.org/officeDocument/2006/relationships/hyperlink" Target="http://www.iup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hyperlink" Target="mailto:orgkonf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upr.ru/arhiv-sbornikov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rgkonf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hyperlink" Target="https://vk.com/konfe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DC040-13E0-46BC-9107-BFC513B6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2020-01-18T18:10:00Z</dcterms:created>
  <dcterms:modified xsi:type="dcterms:W3CDTF">2020-01-18T18:10:00Z</dcterms:modified>
</cp:coreProperties>
</file>