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21F16DC9" w:rsidR="008430B8" w:rsidRDefault="00062BF7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062BF7">
        <w:rPr>
          <w:rStyle w:val="a5"/>
          <w:rFonts w:ascii="Times New Roman" w:hAnsi="Times New Roman"/>
          <w:b/>
          <w:caps/>
          <w:color w:val="002060"/>
          <w:sz w:val="28"/>
        </w:rPr>
        <w:t>ИННОВАЦИОННЫЕ ПУТИ РЕШЕНИЯ АКТУАЛЬНЫХ ПРОБЛЕМ СОЦИАЛЬНО ЭКОНОМИЧЕСКОГО РАЗВИТИЯ РАЗЛИЧНЫХ СИСТЕМ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F2CA701" w14:textId="6A28F5E1" w:rsidR="00A94654" w:rsidRDefault="00062BF7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июля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054803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7AF82943" w:rsidR="006F2FAD" w:rsidRPr="00B21777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21777">
        <w:rPr>
          <w:rFonts w:ascii="Times New Roman" w:hAnsi="Times New Roman"/>
          <w:sz w:val="18"/>
          <w:szCs w:val="18"/>
        </w:rPr>
        <w:t>Шифр конференции: МНПК-</w:t>
      </w:r>
      <w:r w:rsidR="008072D1" w:rsidRPr="00B21777">
        <w:rPr>
          <w:rFonts w:ascii="Times New Roman" w:hAnsi="Times New Roman"/>
          <w:sz w:val="18"/>
          <w:szCs w:val="18"/>
        </w:rPr>
        <w:t xml:space="preserve"> ЭК-</w:t>
      </w:r>
      <w:r w:rsidR="00062BF7">
        <w:rPr>
          <w:rFonts w:ascii="Times New Roman" w:hAnsi="Times New Roman"/>
          <w:sz w:val="18"/>
          <w:szCs w:val="18"/>
        </w:rPr>
        <w:t>54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1374726B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062BF7">
        <w:rPr>
          <w:rFonts w:ascii="Times New Roman" w:hAnsi="Times New Roman"/>
          <w:b/>
          <w:sz w:val="20"/>
          <w:szCs w:val="20"/>
          <w:u w:val="single"/>
        </w:rPr>
        <w:t>8 июля</w:t>
      </w:r>
      <w:r w:rsidR="00054803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394D0B7B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8072D1">
        <w:rPr>
          <w:rFonts w:ascii="Times New Roman" w:hAnsi="Times New Roman"/>
          <w:sz w:val="20"/>
          <w:szCs w:val="20"/>
        </w:rPr>
        <w:t>ЭК-</w:t>
      </w:r>
      <w:r w:rsidR="00062BF7">
        <w:rPr>
          <w:rFonts w:ascii="Times New Roman" w:hAnsi="Times New Roman"/>
          <w:sz w:val="20"/>
          <w:szCs w:val="20"/>
        </w:rPr>
        <w:t>54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2CF8DACB" w:rsidR="00AE7B96" w:rsidRPr="00064079" w:rsidRDefault="00AE7B96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8072D1">
              <w:t xml:space="preserve"> </w:t>
            </w:r>
            <w:r w:rsidR="008072D1" w:rsidRPr="008072D1">
              <w:rPr>
                <w:rFonts w:ascii="Times New Roman" w:hAnsi="Times New Roman"/>
                <w:b/>
                <w:sz w:val="18"/>
                <w:szCs w:val="18"/>
              </w:rPr>
              <w:t>ЭК-</w:t>
            </w:r>
            <w:r w:rsidR="00062BF7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266D90A8" w14:textId="77777777" w:rsidR="002E294B" w:rsidRPr="002E294B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14:paraId="5453341A" w14:textId="77777777" w:rsidR="002E294B" w:rsidRPr="002E294B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14:paraId="1702B6B2" w14:textId="77777777" w:rsidR="002E294B" w:rsidRPr="002E294B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14:paraId="5E2777B2" w14:textId="77777777" w:rsidR="002E294B" w:rsidRPr="002E294B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 регионов.</w:t>
            </w:r>
          </w:p>
          <w:p w14:paraId="2B27C7E0" w14:textId="77777777" w:rsidR="002E294B" w:rsidRPr="002E294B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14:paraId="302B988B" w14:textId="77777777" w:rsidR="002E294B" w:rsidRPr="002E294B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2E294B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E294B">
              <w:rPr>
                <w:rFonts w:ascii="Times New Roman" w:hAnsi="Times New Roman"/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14:paraId="1387E0DE" w14:textId="77777777" w:rsidR="002E294B" w:rsidRPr="002E294B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14:paraId="51001954" w14:textId="5ECA6C5A" w:rsidR="002E294B" w:rsidRPr="00064079" w:rsidRDefault="002E294B" w:rsidP="002E294B">
            <w:pPr>
              <w:tabs>
                <w:tab w:val="left" w:pos="198"/>
              </w:tabs>
              <w:spacing w:after="0" w:line="240" w:lineRule="auto"/>
              <w:ind w:left="56" w:hanging="141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283AC2F5" w:rsidR="00AE7B96" w:rsidRPr="00064079" w:rsidRDefault="00054803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AE7B96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14:paraId="54464EC1" w14:textId="3F58223D" w:rsidR="00AE7B96" w:rsidRPr="00064079" w:rsidRDefault="00054803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экономики, финансов и бизнеса</w:t>
            </w:r>
          </w:p>
          <w:p w14:paraId="2848125D" w14:textId="6232DC59" w:rsidR="00AE7B96" w:rsidRPr="00064079" w:rsidRDefault="00054803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AE7B96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51A0585E" w:rsidR="00AE7B96" w:rsidRPr="00064079" w:rsidRDefault="00054803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СИСТЕМЫ ГОСУДАРСТВЕННО-ЧАСТНОГО ПАРТНЕРСТВА В РЕГИОНЕ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8A008CC" w:rsidR="00AE7B96" w:rsidRPr="00064079" w:rsidRDefault="00054803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072A7B8" w:rsidR="00A82904" w:rsidRPr="00064079" w:rsidRDefault="00AF17CE" w:rsidP="00AF17CE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F17C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05480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Проблемы государственно-частного партнерства в регионе</w:t>
      </w:r>
      <w:r w:rsidRPr="00AF17C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</w:t>
      </w:r>
      <w:r w:rsidR="0005480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Информационные технологии в экономике» (Уфа, 11.01.2019 г.). – Стерлитамак: АМИ, 2019</w:t>
      </w:r>
      <w:r w:rsidRPr="00AF17C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– С. 80-93.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BFA28" w14:textId="77777777" w:rsidR="000154CE" w:rsidRDefault="000154CE" w:rsidP="009D4EA3">
      <w:pPr>
        <w:spacing w:after="0" w:line="240" w:lineRule="auto"/>
      </w:pPr>
      <w:r>
        <w:separator/>
      </w:r>
    </w:p>
  </w:endnote>
  <w:endnote w:type="continuationSeparator" w:id="0">
    <w:p w14:paraId="74E09401" w14:textId="77777777" w:rsidR="000154CE" w:rsidRDefault="000154CE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proofErr w:type="spellStart"/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proofErr w:type="spellEnd"/>
    <w:r w:rsidR="00A83B1F" w:rsidRPr="002E294B">
      <w:rPr>
        <w:rFonts w:ascii="Times New Roman" w:hAnsi="Times New Roman"/>
        <w:sz w:val="16"/>
        <w:szCs w:val="16"/>
      </w:rPr>
      <w:t>@</w:t>
    </w:r>
    <w:proofErr w:type="spellStart"/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proofErr w:type="spellEnd"/>
    <w:r w:rsidR="00A83B1F" w:rsidRPr="002E294B">
      <w:rPr>
        <w:rFonts w:ascii="Times New Roman" w:hAnsi="Times New Roman"/>
        <w:sz w:val="16"/>
        <w:szCs w:val="16"/>
      </w:rPr>
      <w:t>.</w:t>
    </w:r>
    <w:proofErr w:type="spellStart"/>
    <w:r w:rsidR="00A83B1F" w:rsidRPr="00F560A3">
      <w:rPr>
        <w:rFonts w:ascii="Times New Roman" w:hAnsi="Times New Roman"/>
        <w:sz w:val="16"/>
        <w:szCs w:val="16"/>
        <w:lang w:val="en-US"/>
      </w:rPr>
      <w:t>im</w:t>
    </w:r>
    <w:proofErr w:type="spellEnd"/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proofErr w:type="spellStart"/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proofErr w:type="spellEnd"/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proofErr w:type="spellStart"/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  <w:proofErr w:type="spellEnd"/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301FF" w14:textId="77777777" w:rsidR="000154CE" w:rsidRDefault="000154CE" w:rsidP="009D4EA3">
      <w:pPr>
        <w:spacing w:after="0" w:line="240" w:lineRule="auto"/>
      </w:pPr>
      <w:r>
        <w:separator/>
      </w:r>
    </w:p>
  </w:footnote>
  <w:footnote w:type="continuationSeparator" w:id="0">
    <w:p w14:paraId="6FA5ABBF" w14:textId="77777777" w:rsidR="000154CE" w:rsidRDefault="000154CE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4CE"/>
    <w:rsid w:val="00015F05"/>
    <w:rsid w:val="000205DF"/>
    <w:rsid w:val="00023B57"/>
    <w:rsid w:val="00023CF2"/>
    <w:rsid w:val="00032DB5"/>
    <w:rsid w:val="000410F1"/>
    <w:rsid w:val="000427CC"/>
    <w:rsid w:val="00042BA0"/>
    <w:rsid w:val="00054803"/>
    <w:rsid w:val="000555E6"/>
    <w:rsid w:val="000569B0"/>
    <w:rsid w:val="00056B58"/>
    <w:rsid w:val="00056D67"/>
    <w:rsid w:val="00062BF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0680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463E0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0784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12D2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3780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1922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1EEE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4CAD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20E9E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026E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42E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2D1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4C64"/>
    <w:rsid w:val="00867196"/>
    <w:rsid w:val="00871FE8"/>
    <w:rsid w:val="008748B2"/>
    <w:rsid w:val="008812E3"/>
    <w:rsid w:val="00882A4B"/>
    <w:rsid w:val="0088393A"/>
    <w:rsid w:val="00885F5F"/>
    <w:rsid w:val="00894147"/>
    <w:rsid w:val="008B1345"/>
    <w:rsid w:val="008B4801"/>
    <w:rsid w:val="008B7BB1"/>
    <w:rsid w:val="008C0B3B"/>
    <w:rsid w:val="008E0DB5"/>
    <w:rsid w:val="008E3DC2"/>
    <w:rsid w:val="008E624B"/>
    <w:rsid w:val="008E72BF"/>
    <w:rsid w:val="008F0522"/>
    <w:rsid w:val="008F35EA"/>
    <w:rsid w:val="008F5B3D"/>
    <w:rsid w:val="008F7889"/>
    <w:rsid w:val="00903ED9"/>
    <w:rsid w:val="009106C6"/>
    <w:rsid w:val="00914019"/>
    <w:rsid w:val="00914DC2"/>
    <w:rsid w:val="009179E1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3735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17CE"/>
    <w:rsid w:val="00AF297A"/>
    <w:rsid w:val="00AF4AEC"/>
    <w:rsid w:val="00AF4BC2"/>
    <w:rsid w:val="00AF5F89"/>
    <w:rsid w:val="00B02B41"/>
    <w:rsid w:val="00B05A14"/>
    <w:rsid w:val="00B112B4"/>
    <w:rsid w:val="00B124BF"/>
    <w:rsid w:val="00B13628"/>
    <w:rsid w:val="00B1522E"/>
    <w:rsid w:val="00B21777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26F3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3E91"/>
    <w:rsid w:val="00C656C2"/>
    <w:rsid w:val="00C67F0A"/>
    <w:rsid w:val="00C8046B"/>
    <w:rsid w:val="00C8179E"/>
    <w:rsid w:val="00C86B04"/>
    <w:rsid w:val="00C91F9C"/>
    <w:rsid w:val="00C934AC"/>
    <w:rsid w:val="00C95E8E"/>
    <w:rsid w:val="00C97416"/>
    <w:rsid w:val="00C97EF2"/>
    <w:rsid w:val="00CA3A44"/>
    <w:rsid w:val="00CA5EEE"/>
    <w:rsid w:val="00CB0BC9"/>
    <w:rsid w:val="00CB1AB9"/>
    <w:rsid w:val="00CB686C"/>
    <w:rsid w:val="00CB6D7A"/>
    <w:rsid w:val="00CC07F4"/>
    <w:rsid w:val="00CC3366"/>
    <w:rsid w:val="00CC43B9"/>
    <w:rsid w:val="00CC442A"/>
    <w:rsid w:val="00CC75C7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1EBD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8204B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07CD9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73E6D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31A0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2019-F112-4E4A-A323-3B2B60A0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2018-11-29T16:41:00Z</dcterms:created>
  <dcterms:modified xsi:type="dcterms:W3CDTF">2018-11-29T16:41:00Z</dcterms:modified>
</cp:coreProperties>
</file>