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D87EB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Волгоград</w:t>
      </w:r>
    </w:p>
    <w:p w:rsidR="008E221A" w:rsidRPr="009F456F" w:rsidRDefault="00AD390C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</w:t>
      </w:r>
      <w:r w:rsidR="00D87EB7">
        <w:rPr>
          <w:rFonts w:cs="Times New Roman"/>
          <w:b/>
          <w:color w:val="FF0000"/>
          <w:sz w:val="32"/>
          <w:szCs w:val="32"/>
        </w:rPr>
        <w:t>7</w:t>
      </w:r>
      <w:r>
        <w:rPr>
          <w:rFonts w:cs="Times New Roman"/>
          <w:b/>
          <w:color w:val="FF0000"/>
          <w:sz w:val="32"/>
          <w:szCs w:val="32"/>
        </w:rPr>
        <w:t xml:space="preserve"> сентября</w:t>
      </w:r>
      <w:r w:rsidR="008670B3" w:rsidRPr="009F456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F456F">
        <w:rPr>
          <w:rFonts w:cs="Times New Roman"/>
          <w:b/>
          <w:color w:val="FF0000"/>
          <w:sz w:val="32"/>
          <w:szCs w:val="32"/>
        </w:rPr>
        <w:t>201</w:t>
      </w:r>
      <w:r w:rsidR="00817FF5" w:rsidRPr="009F456F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F52EA3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F52EA3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874B16" w:rsidRDefault="00874B16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>
        <w:rPr>
          <w:rFonts w:cs="Times New Roman"/>
          <w:b/>
          <w:color w:val="17365D" w:themeColor="text2" w:themeShade="BF"/>
          <w:szCs w:val="28"/>
        </w:rPr>
        <w:t xml:space="preserve"> 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52EA3" w:rsidRPr="0045224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87575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F52EA3" w:rsidRDefault="00D87EB7" w:rsidP="001F135C">
      <w:pPr>
        <w:jc w:val="center"/>
        <w:rPr>
          <w:b/>
          <w:sz w:val="24"/>
          <w:szCs w:val="24"/>
        </w:rPr>
      </w:pPr>
      <w:bookmarkStart w:id="0" w:name="_GoBack"/>
      <w:r w:rsidRPr="00D87EB7">
        <w:rPr>
          <w:b/>
          <w:sz w:val="24"/>
          <w:szCs w:val="24"/>
        </w:rPr>
        <w:t>ПРОБЛЕМЫ И ОСОБЕННОСТИ РАЗВИТИЯ НАЦИОНАЛЬНОЙ ИННОВАЦИОННОЙ СИСТЕМЫ</w:t>
      </w:r>
    </w:p>
    <w:bookmarkEnd w:id="0"/>
    <w:p w:rsidR="00745653" w:rsidRDefault="00C21320" w:rsidP="001F135C">
      <w:pPr>
        <w:jc w:val="center"/>
        <w:rPr>
          <w:b/>
          <w:sz w:val="24"/>
          <w:szCs w:val="24"/>
        </w:rPr>
      </w:pPr>
      <w:r w:rsidRPr="003B2C55">
        <w:rPr>
          <w:b/>
          <w:sz w:val="24"/>
          <w:szCs w:val="24"/>
        </w:rPr>
        <w:t xml:space="preserve">   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52242" w:rsidRDefault="00452242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D87EB7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D390C">
        <w:rPr>
          <w:rFonts w:eastAsia="Calibri" w:cs="Times New Roman"/>
          <w:sz w:val="24"/>
          <w:szCs w:val="24"/>
        </w:rPr>
        <w:t>1 сентября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AD390C">
        <w:rPr>
          <w:b/>
          <w:sz w:val="24"/>
        </w:rPr>
        <w:t>1</w:t>
      </w:r>
      <w:r w:rsidR="00D87EB7">
        <w:rPr>
          <w:b/>
          <w:sz w:val="24"/>
        </w:rPr>
        <w:t>7</w:t>
      </w:r>
      <w:r w:rsidR="00AD390C">
        <w:rPr>
          <w:b/>
          <w:sz w:val="24"/>
        </w:rPr>
        <w:t xml:space="preserve"> сентября</w:t>
      </w:r>
      <w:r w:rsidR="001B2956">
        <w:rPr>
          <w:b/>
          <w:sz w:val="24"/>
        </w:rPr>
        <w:t xml:space="preserve"> 201</w:t>
      </w:r>
      <w:r w:rsidR="008771AC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733388" w:rsidRPr="00EA329B" w:rsidRDefault="00733388" w:rsidP="00733388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733388" w:rsidRDefault="00733388" w:rsidP="00733388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D87EB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8771AC" w:rsidRDefault="00D87EB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817FF5" w:rsidRDefault="00D87EB7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817FF5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817FF5">
        <w:rPr>
          <w:rFonts w:cs="Times New Roman"/>
          <w:sz w:val="36"/>
          <w:szCs w:val="24"/>
        </w:rPr>
        <w:t xml:space="preserve"> </w:t>
      </w:r>
    </w:p>
    <w:p w:rsidR="00AD390C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AD390C" w:rsidRPr="00A01FA9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+7 917 021 49 78 - оператор Ирина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B2C55"/>
    <w:rsid w:val="003E0328"/>
    <w:rsid w:val="003E4C13"/>
    <w:rsid w:val="004051C8"/>
    <w:rsid w:val="00426D13"/>
    <w:rsid w:val="00442275"/>
    <w:rsid w:val="00452242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5F308F"/>
    <w:rsid w:val="006054E1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3388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17FF5"/>
    <w:rsid w:val="00833C80"/>
    <w:rsid w:val="00840652"/>
    <w:rsid w:val="008578F0"/>
    <w:rsid w:val="008670B3"/>
    <w:rsid w:val="00874B16"/>
    <w:rsid w:val="008771AC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272F"/>
    <w:rsid w:val="009D6C55"/>
    <w:rsid w:val="009E6D5F"/>
    <w:rsid w:val="009E71D6"/>
    <w:rsid w:val="009F456F"/>
    <w:rsid w:val="00A01FA9"/>
    <w:rsid w:val="00A10D65"/>
    <w:rsid w:val="00A13185"/>
    <w:rsid w:val="00A42A16"/>
    <w:rsid w:val="00A87254"/>
    <w:rsid w:val="00A874EB"/>
    <w:rsid w:val="00A921B0"/>
    <w:rsid w:val="00AD37CB"/>
    <w:rsid w:val="00AD390C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320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87EB7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48AD"/>
    <w:rsid w:val="00ED77D3"/>
    <w:rsid w:val="00F021E6"/>
    <w:rsid w:val="00F069D8"/>
    <w:rsid w:val="00F52EA3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51A6577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889E-B7C1-4C3E-A185-269F487B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108</cp:revision>
  <dcterms:created xsi:type="dcterms:W3CDTF">2017-04-12T05:40:00Z</dcterms:created>
  <dcterms:modified xsi:type="dcterms:W3CDTF">2019-08-20T11:14:00Z</dcterms:modified>
</cp:coreProperties>
</file>