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4566B1">
        <w:rPr>
          <w:noProof/>
          <w:lang w:val="en-US"/>
        </w:rPr>
        <w:fldChar w:fldCharType="begin"/>
      </w:r>
      <w:r w:rsidR="004566B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4566B1">
        <w:rPr>
          <w:noProof/>
          <w:lang w:val="en-US"/>
        </w:rPr>
        <w:fldChar w:fldCharType="separate"/>
      </w:r>
      <w:r w:rsidR="009802C1">
        <w:rPr>
          <w:noProof/>
          <w:lang w:val="en-US"/>
        </w:rPr>
        <w:fldChar w:fldCharType="begin"/>
      </w:r>
      <w:r w:rsidR="009802C1">
        <w:rPr>
          <w:noProof/>
          <w:lang w:val="en-US"/>
        </w:rPr>
        <w:instrText xml:space="preserve"> </w:instrText>
      </w:r>
      <w:r w:rsidR="009802C1">
        <w:rPr>
          <w:noProof/>
          <w:lang w:val="en-US"/>
        </w:rPr>
        <w:instrText>INCLUDEPICTURE  "http://izdat-knigu.ru/wp-content/uploads/2011/03/Log%D0%BEISBN.gif" \* MERGEFORMATINET</w:instrText>
      </w:r>
      <w:r w:rsidR="009802C1">
        <w:rPr>
          <w:noProof/>
          <w:lang w:val="en-US"/>
        </w:rPr>
        <w:instrText xml:space="preserve"> </w:instrText>
      </w:r>
      <w:r w:rsidR="009802C1">
        <w:rPr>
          <w:noProof/>
          <w:lang w:val="en-US"/>
        </w:rPr>
        <w:fldChar w:fldCharType="separate"/>
      </w:r>
      <w:r w:rsidR="009802C1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6pt;height:34.65pt">
            <v:imagedata r:id="rId7" r:href="rId8"/>
          </v:shape>
        </w:pict>
      </w:r>
      <w:r w:rsidR="009802C1">
        <w:rPr>
          <w:noProof/>
          <w:lang w:val="en-US"/>
        </w:rPr>
        <w:fldChar w:fldCharType="end"/>
      </w:r>
      <w:r w:rsidR="004566B1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36A2FEF3" w:rsidR="004A2608" w:rsidRPr="00B12B99" w:rsidRDefault="004566B1" w:rsidP="004920F9">
      <w:pPr>
        <w:jc w:val="center"/>
        <w:rPr>
          <w:b/>
          <w:caps/>
          <w:color w:val="1F4E79"/>
          <w:sz w:val="34"/>
          <w:szCs w:val="34"/>
        </w:rPr>
      </w:pPr>
      <w:r w:rsidRPr="004566B1">
        <w:rPr>
          <w:b/>
          <w:caps/>
          <w:color w:val="1F4E79"/>
          <w:sz w:val="34"/>
          <w:szCs w:val="34"/>
        </w:rPr>
        <w:t>СИНТЕЗ НАУКИ И ОБЩЕСТВА В РЕШЕНИИ ГЛОБАЛЬНЫХ ПРОБЛЕМ СОВРЕМЕННОСТИ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515B1532" w:rsidR="002225C1" w:rsidRPr="00C369F7" w:rsidRDefault="004566B1" w:rsidP="004920F9">
      <w:pPr>
        <w:jc w:val="center"/>
        <w:rPr>
          <w:b/>
        </w:rPr>
      </w:pPr>
      <w:r>
        <w:rPr>
          <w:b/>
        </w:rPr>
        <w:t>17 октября</w:t>
      </w:r>
      <w:r w:rsidR="003503D6" w:rsidRPr="00C369F7">
        <w:rPr>
          <w:b/>
        </w:rPr>
        <w:t xml:space="preserve"> 2018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06D9B1BE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4566B1">
        <w:rPr>
          <w:b/>
          <w:color w:val="1F4E79"/>
        </w:rPr>
        <w:t>Тюмень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004EE8A3" w:rsidR="002225C1" w:rsidRPr="002225C1" w:rsidRDefault="00B12B99" w:rsidP="00E43273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4566B1">
        <w:rPr>
          <w:b/>
          <w:sz w:val="20"/>
          <w:szCs w:val="16"/>
        </w:rPr>
        <w:t>-228</w:t>
      </w:r>
      <w:r w:rsidR="00E43273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 xml:space="preserve">Приглашаем принять участие в Международной 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3F7A1910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4566B1">
        <w:rPr>
          <w:b/>
          <w:sz w:val="18"/>
          <w:szCs w:val="18"/>
        </w:rPr>
        <w:t>17 октября</w:t>
      </w:r>
      <w:r w:rsidR="003503D6">
        <w:rPr>
          <w:b/>
          <w:sz w:val="18"/>
          <w:szCs w:val="18"/>
        </w:rPr>
        <w:t xml:space="preserve"> 2018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r w:rsidR="00665E33">
        <w:rPr>
          <w:b/>
          <w:sz w:val="18"/>
          <w:szCs w:val="18"/>
          <w:lang w:val="en-US"/>
        </w:rPr>
        <w:t>science</w:t>
      </w:r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72A1C950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 xml:space="preserve">. (например: </w:t>
      </w:r>
      <w:r w:rsidRPr="002225C1">
        <w:rPr>
          <w:sz w:val="18"/>
          <w:szCs w:val="18"/>
          <w:lang w:val="en-US"/>
        </w:rPr>
        <w:t>KON</w:t>
      </w:r>
      <w:r w:rsidR="004566B1">
        <w:rPr>
          <w:sz w:val="18"/>
          <w:szCs w:val="18"/>
        </w:rPr>
        <w:t>-228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77B7C0C5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45D0C0AA" w14:textId="77777777" w:rsidR="00825C6A" w:rsidRDefault="00825C6A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2ADCE237" w14:textId="77777777" w:rsidR="00995B5E" w:rsidRPr="002225C1" w:rsidRDefault="00995B5E" w:rsidP="00E11A9E">
      <w:pPr>
        <w:rPr>
          <w:b/>
          <w:color w:val="1F4E79"/>
          <w:sz w:val="18"/>
          <w:szCs w:val="18"/>
        </w:rPr>
      </w:pP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3503D6">
              <w:rPr>
                <w:sz w:val="18"/>
                <w:szCs w:val="18"/>
              </w:rPr>
              <w:t>с указанием автора, и года (2018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41BC0FD3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77777777" w:rsidR="002225C1" w:rsidRPr="002225C1" w:rsidRDefault="003503D6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2018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053"/>
        <w:gridCol w:w="1136"/>
      </w:tblGrid>
      <w:tr w:rsidR="00EC49C8" w:rsidRPr="002225C1" w14:paraId="70ED518F" w14:textId="77777777" w:rsidTr="00EC49C8">
        <w:trPr>
          <w:trHeight w:val="53"/>
        </w:trPr>
        <w:tc>
          <w:tcPr>
            <w:tcW w:w="2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EC49C8" w:rsidRPr="002225C1" w14:paraId="39D26B67" w14:textId="77777777" w:rsidTr="00EC49C8">
        <w:trPr>
          <w:trHeight w:val="399"/>
        </w:trPr>
        <w:tc>
          <w:tcPr>
            <w:tcW w:w="2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0E66" w14:textId="77777777" w:rsidR="00C227A7" w:rsidRPr="002225C1" w:rsidRDefault="00C227A7" w:rsidP="004920F9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464" w14:textId="77777777" w:rsidR="00C227A7" w:rsidRPr="002225C1" w:rsidRDefault="00C227A7" w:rsidP="004920F9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EC49C8" w:rsidRPr="002225C1" w14:paraId="520507E0" w14:textId="77777777" w:rsidTr="00EC49C8">
        <w:trPr>
          <w:trHeight w:val="53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Pr="002225C1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EC49C8">
        <w:trPr>
          <w:trHeight w:val="53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EC49C8" w:rsidRPr="002225C1" w14:paraId="3C1A448B" w14:textId="77777777" w:rsidTr="00EC49C8">
        <w:trPr>
          <w:trHeight w:val="228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300 руб.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23CE867A" w14:textId="77777777" w:rsidTr="00EC49C8">
        <w:trPr>
          <w:trHeight w:val="228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C227A7" w:rsidRPr="00833EEC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руб.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EC49C8">
        <w:trPr>
          <w:trHeight w:val="64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E43273" w14:paraId="1A5B2E5F" w14:textId="77777777" w:rsidTr="00B559E2">
        <w:trPr>
          <w:trHeight w:val="64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53B43FDD" w:rsidR="00E11A9E" w:rsidRPr="002C1231" w:rsidRDefault="004566B1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KON-228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39F25225" w:rsidR="00E11A9E" w:rsidRPr="002C1231" w:rsidRDefault="009802C1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science</w:t>
            </w:r>
            <w:r w:rsidRPr="003059C5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</w:t>
            </w:r>
            <w:r w:rsidRPr="003059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Pr="003059C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  <w:bookmarkStart w:id="0" w:name="_GoBack"/>
            <w:bookmarkEnd w:id="0"/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2DB9E05A" w14:textId="0A4F9804" w:rsidR="00C227A7" w:rsidRDefault="00C227A7" w:rsidP="004920F9">
      <w:pPr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r w:rsidR="00665E33">
        <w:rPr>
          <w:b/>
          <w:sz w:val="18"/>
          <w:szCs w:val="18"/>
          <w:lang w:val="en-US"/>
        </w:rPr>
        <w:t>science</w:t>
      </w:r>
      <w:r w:rsidR="00665E33" w:rsidRPr="002225C1">
        <w:rPr>
          <w:b/>
          <w:sz w:val="18"/>
          <w:szCs w:val="18"/>
        </w:rPr>
        <w:t>@</w:t>
      </w:r>
      <w:proofErr w:type="spellStart"/>
      <w:r w:rsidR="00665E33" w:rsidRPr="002225C1">
        <w:rPr>
          <w:b/>
          <w:sz w:val="18"/>
          <w:szCs w:val="18"/>
          <w:lang w:val="en-US"/>
        </w:rPr>
        <w:t>os</w:t>
      </w:r>
      <w:proofErr w:type="spellEnd"/>
      <w:r w:rsidR="00665E33" w:rsidRPr="002225C1">
        <w:rPr>
          <w:b/>
          <w:sz w:val="18"/>
          <w:szCs w:val="18"/>
        </w:rPr>
        <w:t>-</w:t>
      </w:r>
      <w:proofErr w:type="spellStart"/>
      <w:r w:rsidR="00665E33" w:rsidRPr="002225C1">
        <w:rPr>
          <w:b/>
          <w:sz w:val="18"/>
          <w:szCs w:val="18"/>
          <w:lang w:val="en-US"/>
        </w:rPr>
        <w:t>russia</w:t>
      </w:r>
      <w:proofErr w:type="spellEnd"/>
      <w:r w:rsidR="00665E33" w:rsidRPr="002225C1">
        <w:rPr>
          <w:b/>
          <w:sz w:val="18"/>
          <w:szCs w:val="18"/>
        </w:rPr>
        <w:t>.</w:t>
      </w:r>
      <w:r w:rsidR="00665E33" w:rsidRPr="002225C1">
        <w:rPr>
          <w:b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208F8726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3503D6">
        <w:rPr>
          <w:color w:val="000000"/>
          <w:sz w:val="18"/>
          <w:szCs w:val="18"/>
          <w:shd w:val="clear" w:color="auto" w:fill="FFFFFF"/>
        </w:rPr>
        <w:t xml:space="preserve">18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3503D6">
        <w:rPr>
          <w:color w:val="000000"/>
          <w:sz w:val="18"/>
          <w:szCs w:val="18"/>
          <w:shd w:val="clear" w:color="auto" w:fill="FFFFFF"/>
        </w:rPr>
        <w:t>, 2018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2D7EDF10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665E33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665E33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665E33">
        <w:rPr>
          <w:b/>
          <w:sz w:val="18"/>
          <w:szCs w:val="18"/>
          <w:lang w:val="en-US"/>
        </w:rPr>
        <w:t xml:space="preserve">     ||     </w:t>
      </w:r>
      <w:r w:rsidRPr="00665E33">
        <w:rPr>
          <w:sz w:val="18"/>
          <w:szCs w:val="18"/>
          <w:lang w:val="en-US"/>
        </w:rPr>
        <w:t xml:space="preserve"> </w:t>
      </w:r>
      <w:r w:rsidR="00665E33">
        <w:rPr>
          <w:b/>
          <w:sz w:val="18"/>
          <w:szCs w:val="18"/>
          <w:lang w:val="en-US"/>
        </w:rPr>
        <w:t>science</w:t>
      </w:r>
      <w:r w:rsidR="00665E33" w:rsidRPr="00665E33">
        <w:rPr>
          <w:b/>
          <w:sz w:val="18"/>
          <w:szCs w:val="18"/>
          <w:lang w:val="en-US"/>
        </w:rPr>
        <w:t>@</w:t>
      </w:r>
      <w:r w:rsidR="00665E33" w:rsidRPr="002225C1">
        <w:rPr>
          <w:b/>
          <w:sz w:val="18"/>
          <w:szCs w:val="18"/>
          <w:lang w:val="en-US"/>
        </w:rPr>
        <w:t>os</w:t>
      </w:r>
      <w:r w:rsidR="00665E33" w:rsidRPr="00665E33">
        <w:rPr>
          <w:b/>
          <w:sz w:val="18"/>
          <w:szCs w:val="18"/>
          <w:lang w:val="en-US"/>
        </w:rPr>
        <w:t>-</w:t>
      </w:r>
      <w:r w:rsidR="00665E33" w:rsidRPr="002225C1">
        <w:rPr>
          <w:b/>
          <w:sz w:val="18"/>
          <w:szCs w:val="18"/>
          <w:lang w:val="en-US"/>
        </w:rPr>
        <w:t>russia</w:t>
      </w:r>
      <w:r w:rsidR="00665E33" w:rsidRPr="00665E33">
        <w:rPr>
          <w:b/>
          <w:sz w:val="18"/>
          <w:szCs w:val="18"/>
          <w:lang w:val="en-US"/>
        </w:rPr>
        <w:t>.</w:t>
      </w:r>
      <w:r w:rsidR="00665E33" w:rsidRPr="002225C1">
        <w:rPr>
          <w:b/>
          <w:sz w:val="18"/>
          <w:szCs w:val="18"/>
          <w:lang w:val="en-US"/>
        </w:rPr>
        <w:t>com</w:t>
      </w:r>
      <w:r w:rsidR="00201800" w:rsidRPr="00665E33">
        <w:rPr>
          <w:b/>
          <w:sz w:val="18"/>
          <w:szCs w:val="18"/>
          <w:lang w:val="en-US"/>
        </w:rPr>
        <w:t xml:space="preserve">     ||     </w:t>
      </w:r>
      <w:r w:rsidRPr="00665E33">
        <w:rPr>
          <w:b/>
          <w:sz w:val="18"/>
          <w:szCs w:val="18"/>
          <w:lang w:val="en-US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665E33">
        <w:rPr>
          <w:b/>
          <w:sz w:val="18"/>
          <w:szCs w:val="18"/>
          <w:lang w:val="en-US"/>
        </w:rPr>
        <w:t>960</w:t>
      </w:r>
      <w:r w:rsidRPr="00E43273">
        <w:rPr>
          <w:b/>
          <w:sz w:val="18"/>
          <w:szCs w:val="18"/>
          <w:lang w:val="en-US"/>
        </w:rPr>
        <w:t>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0B78"/>
    <w:rsid w:val="000323EE"/>
    <w:rsid w:val="00046D45"/>
    <w:rsid w:val="000549BB"/>
    <w:rsid w:val="00090ED4"/>
    <w:rsid w:val="000B3A0A"/>
    <w:rsid w:val="000C05CF"/>
    <w:rsid w:val="000C27C1"/>
    <w:rsid w:val="000E40BA"/>
    <w:rsid w:val="00102E7B"/>
    <w:rsid w:val="0012576F"/>
    <w:rsid w:val="001B2734"/>
    <w:rsid w:val="00201800"/>
    <w:rsid w:val="00204CFD"/>
    <w:rsid w:val="002225C1"/>
    <w:rsid w:val="00277CC7"/>
    <w:rsid w:val="002854A9"/>
    <w:rsid w:val="002C1231"/>
    <w:rsid w:val="002F44D3"/>
    <w:rsid w:val="00303DE0"/>
    <w:rsid w:val="00330915"/>
    <w:rsid w:val="003503D6"/>
    <w:rsid w:val="00375772"/>
    <w:rsid w:val="003D775A"/>
    <w:rsid w:val="004566B1"/>
    <w:rsid w:val="004920F9"/>
    <w:rsid w:val="004A2608"/>
    <w:rsid w:val="004D6A73"/>
    <w:rsid w:val="004F179A"/>
    <w:rsid w:val="005075A9"/>
    <w:rsid w:val="00621181"/>
    <w:rsid w:val="00643AA4"/>
    <w:rsid w:val="00665E33"/>
    <w:rsid w:val="0069211C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A0BBC"/>
    <w:rsid w:val="008A50A9"/>
    <w:rsid w:val="008B094B"/>
    <w:rsid w:val="008C16D3"/>
    <w:rsid w:val="008C1F7C"/>
    <w:rsid w:val="00952FD1"/>
    <w:rsid w:val="009802C1"/>
    <w:rsid w:val="00995B5E"/>
    <w:rsid w:val="009A04B7"/>
    <w:rsid w:val="009A2545"/>
    <w:rsid w:val="009C5E14"/>
    <w:rsid w:val="00AB2D1C"/>
    <w:rsid w:val="00AD7236"/>
    <w:rsid w:val="00AE03D9"/>
    <w:rsid w:val="00B047A7"/>
    <w:rsid w:val="00B04D06"/>
    <w:rsid w:val="00B12B99"/>
    <w:rsid w:val="00B1421D"/>
    <w:rsid w:val="00B162BF"/>
    <w:rsid w:val="00B64E9E"/>
    <w:rsid w:val="00BA2869"/>
    <w:rsid w:val="00C227A7"/>
    <w:rsid w:val="00C25B00"/>
    <w:rsid w:val="00C30F53"/>
    <w:rsid w:val="00C3148C"/>
    <w:rsid w:val="00C369F7"/>
    <w:rsid w:val="00CA5CF3"/>
    <w:rsid w:val="00CF3C11"/>
    <w:rsid w:val="00D803B0"/>
    <w:rsid w:val="00DD2E65"/>
    <w:rsid w:val="00E11A9E"/>
    <w:rsid w:val="00E43273"/>
    <w:rsid w:val="00EB278C"/>
    <w:rsid w:val="00EB2A6B"/>
    <w:rsid w:val="00EC49C8"/>
    <w:rsid w:val="00F27937"/>
    <w:rsid w:val="00F334BC"/>
    <w:rsid w:val="00F554A1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os-russia.com/INFORM/Kvitanciya.doc" TargetMode="External"/><Relationship Id="rId13" Type="http://schemas.openxmlformats.org/officeDocument/2006/relationships/hyperlink" Target="http://os-russia.com/on-line-pay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s-russia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http://izdat-knigu.ru/wp-content/uploads/2011/03/Log%D0%BEISBN.gif" TargetMode="External"/><Relationship Id="rId9" Type="http://schemas.openxmlformats.org/officeDocument/2006/relationships/hyperlink" Target="http://www.antiplagiat.ru" TargetMode="External"/><Relationship Id="rId10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1581</Words>
  <Characters>9014</Characters>
  <Application>Microsoft Macintosh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Microsoft Office</cp:lastModifiedBy>
  <cp:revision>3</cp:revision>
  <dcterms:created xsi:type="dcterms:W3CDTF">2018-06-14T06:40:00Z</dcterms:created>
  <dcterms:modified xsi:type="dcterms:W3CDTF">2018-06-27T12:23:00Z</dcterms:modified>
</cp:coreProperties>
</file>