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AD" w:rsidRPr="009214AD" w:rsidRDefault="009214AD" w:rsidP="009214AD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9214AD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301343" w:rsidRDefault="006369F9" w:rsidP="00301343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6369F9">
        <w:rPr>
          <w:rStyle w:val="a3"/>
          <w:rFonts w:ascii="Times New Roman" w:hAnsi="Times New Roman"/>
          <w:b/>
          <w:caps/>
          <w:color w:val="002060"/>
          <w:sz w:val="28"/>
        </w:rPr>
        <w:t>МЕТОДЫ И МЕХАНИЗМЫ РЕАЛИЗАЦИИ КОМПЕТЕНТОСТНОГО ПОДХОДА В ПСИХОЛОГИИ И ПЕДАГОГИКЕ</w:t>
      </w:r>
    </w:p>
    <w:p w:rsidR="00301343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343" w:rsidRDefault="006369F9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301343">
        <w:rPr>
          <w:rFonts w:ascii="Times New Roman" w:hAnsi="Times New Roman"/>
          <w:b/>
          <w:sz w:val="24"/>
          <w:szCs w:val="24"/>
        </w:rPr>
        <w:t xml:space="preserve"> апреля 2020 г.</w:t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bookmarkStart w:id="0" w:name="_GoBack"/>
      <w:bookmarkEnd w:id="0"/>
      <w:r w:rsidR="00301343" w:rsidRPr="00064079">
        <w:rPr>
          <w:rFonts w:ascii="Times New Roman" w:hAnsi="Times New Roman"/>
          <w:b/>
          <w:sz w:val="24"/>
          <w:szCs w:val="24"/>
        </w:rPr>
        <w:t>, РФ</w:t>
      </w:r>
    </w:p>
    <w:p w:rsidR="00301343" w:rsidRPr="00BC6B35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МНПК-ПП-</w:t>
      </w:r>
      <w:r w:rsidR="006369F9">
        <w:rPr>
          <w:rFonts w:ascii="Times New Roman" w:hAnsi="Times New Roman"/>
          <w:sz w:val="18"/>
          <w:szCs w:val="18"/>
        </w:rPr>
        <w:t>71</w:t>
      </w:r>
    </w:p>
    <w:p w:rsidR="00301343" w:rsidRPr="00064079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343" w:rsidRDefault="00301343" w:rsidP="0030134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301343" w:rsidRDefault="00301343" w:rsidP="0030134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301343" w:rsidRPr="00C17B1A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301343" w:rsidRPr="00C17B1A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301343" w:rsidRPr="00C17B1A" w:rsidRDefault="00301343" w:rsidP="003013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 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301343" w:rsidRPr="005E754A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369F9">
        <w:rPr>
          <w:rFonts w:ascii="Times New Roman" w:hAnsi="Times New Roman"/>
          <w:b/>
          <w:sz w:val="20"/>
          <w:szCs w:val="20"/>
          <w:u w:val="single"/>
        </w:rPr>
        <w:t>23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апреля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301343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-ПП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6369F9">
        <w:rPr>
          <w:rFonts w:ascii="Times New Roman" w:hAnsi="Times New Roman"/>
          <w:b/>
          <w:sz w:val="18"/>
          <w:szCs w:val="18"/>
        </w:rPr>
        <w:t>71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DB0624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301343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301343" w:rsidRPr="00FB2C9F" w:rsidRDefault="00301343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301343" w:rsidRPr="00FB2C9F" w:rsidRDefault="00301343" w:rsidP="00636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369F9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6369F9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.04.2020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301343" w:rsidRPr="00064079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1343" w:rsidRDefault="00301343" w:rsidP="00301343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301343" w:rsidRPr="0092285F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301343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301343" w:rsidRPr="00782B62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БИК 048073601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01343" w:rsidRPr="00064079" w:rsidRDefault="00301343" w:rsidP="0030134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01343" w:rsidRPr="00A82904" w:rsidRDefault="00301343" w:rsidP="00301343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301343" w:rsidRPr="00F857E4" w:rsidRDefault="00301343" w:rsidP="003013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301343" w:rsidRPr="00782B62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301343" w:rsidRPr="00064079" w:rsidRDefault="00301343" w:rsidP="00301343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FE6D07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301343" w:rsidRPr="009214AD" w:rsidRDefault="00301343" w:rsidP="00301343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01343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301343" w:rsidRPr="00064079" w:rsidRDefault="00301343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301343" w:rsidRPr="00064079" w:rsidRDefault="00301343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п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педагогики и социологии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</w:t>
            </w:r>
            <w:r w:rsidRPr="00064079">
              <w:rPr>
                <w:rFonts w:ascii="Times New Roman" w:hAnsi="Times New Roman"/>
              </w:rPr>
              <w:t>,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Казань</w:t>
            </w:r>
            <w:r w:rsidRPr="00064079">
              <w:rPr>
                <w:rFonts w:ascii="Times New Roman" w:hAnsi="Times New Roman"/>
              </w:rPr>
              <w:t>, Российская Федерация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 ВОСПИТАНИЕ УЧАЩИХСЯ НАЧАЛЬНЫХ КЛАССОВ</w:t>
            </w:r>
          </w:p>
          <w:p w:rsidR="00301343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301343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01343" w:rsidRPr="00064079" w:rsidRDefault="00301343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301343" w:rsidRPr="00064079" w:rsidRDefault="00301343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301343" w:rsidRPr="00064079" w:rsidRDefault="00301343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301343" w:rsidRPr="009214AD" w:rsidRDefault="00301343" w:rsidP="00301343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301343" w:rsidRDefault="00301343" w:rsidP="00301343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Патриотическое воспитание учащихся начальных классов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6369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</w:t>
      </w:r>
      <w:r w:rsidR="006369F9" w:rsidRPr="006369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етоды и механизмы реализации </w:t>
      </w:r>
      <w:proofErr w:type="spellStart"/>
      <w:r w:rsidR="006369F9" w:rsidRPr="006369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компетентостного</w:t>
      </w:r>
      <w:proofErr w:type="spellEnd"/>
      <w:r w:rsidR="006369F9" w:rsidRPr="006369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подхода в психологии и педагогике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6369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Оренбург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6369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04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301343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26" w:rsidRDefault="00515026">
      <w:pPr>
        <w:spacing w:after="0" w:line="240" w:lineRule="auto"/>
      </w:pPr>
      <w:r>
        <w:separator/>
      </w:r>
    </w:p>
  </w:endnote>
  <w:endnote w:type="continuationSeparator" w:id="0">
    <w:p w:rsidR="00515026" w:rsidRDefault="0051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515026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26" w:rsidRDefault="00515026">
      <w:pPr>
        <w:spacing w:after="0" w:line="240" w:lineRule="auto"/>
      </w:pPr>
      <w:r>
        <w:separator/>
      </w:r>
    </w:p>
  </w:footnote>
  <w:footnote w:type="continuationSeparator" w:id="0">
    <w:p w:rsidR="00515026" w:rsidRDefault="0051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A696A"/>
    <w:rsid w:val="00301343"/>
    <w:rsid w:val="00515026"/>
    <w:rsid w:val="006369F9"/>
    <w:rsid w:val="00811D9B"/>
    <w:rsid w:val="008762D7"/>
    <w:rsid w:val="009214AD"/>
    <w:rsid w:val="00AE4EB1"/>
    <w:rsid w:val="00B252FC"/>
    <w:rsid w:val="00DA31AE"/>
    <w:rsid w:val="00DA5CAA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2019-11-28T15:23:00Z</dcterms:created>
  <dcterms:modified xsi:type="dcterms:W3CDTF">2019-11-28T15:23:00Z</dcterms:modified>
</cp:coreProperties>
</file>