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D0517E" w:rsidRDefault="00D0517E" w:rsidP="00A9007A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0517E">
        <w:rPr>
          <w:rStyle w:val="a5"/>
          <w:rFonts w:ascii="Times New Roman" w:hAnsi="Times New Roman"/>
          <w:b/>
          <w:caps/>
          <w:color w:val="002060"/>
          <w:sz w:val="28"/>
        </w:rPr>
        <w:t>Современная юриспруденция: правовая мысль и практика правоприменения</w:t>
      </w:r>
    </w:p>
    <w:p w:rsidR="006F437C" w:rsidRPr="00A9007A" w:rsidRDefault="00D0517E" w:rsidP="00A900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B53D2">
        <w:rPr>
          <w:rFonts w:ascii="Times New Roman" w:hAnsi="Times New Roman"/>
          <w:b/>
          <w:sz w:val="24"/>
          <w:szCs w:val="24"/>
        </w:rPr>
        <w:t>9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CE2F23"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9558ED">
        <w:rPr>
          <w:rFonts w:ascii="Times New Roman" w:hAnsi="Times New Roman"/>
          <w:sz w:val="20"/>
          <w:szCs w:val="20"/>
        </w:rPr>
        <w:t xml:space="preserve"> </w:t>
      </w:r>
      <w:r w:rsidR="0097310A">
        <w:rPr>
          <w:rFonts w:ascii="Times New Roman" w:hAnsi="Times New Roman"/>
          <w:sz w:val="20"/>
          <w:szCs w:val="20"/>
        </w:rPr>
        <w:t>-1</w:t>
      </w:r>
      <w:r w:rsidR="000F3237">
        <w:rPr>
          <w:rFonts w:ascii="Times New Roman" w:hAnsi="Times New Roman"/>
          <w:sz w:val="20"/>
          <w:szCs w:val="20"/>
        </w:rPr>
        <w:t>4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B53D2">
        <w:rPr>
          <w:rFonts w:ascii="Times New Roman" w:hAnsi="Times New Roman"/>
          <w:b/>
          <w:sz w:val="20"/>
          <w:szCs w:val="20"/>
          <w:u w:val="single"/>
        </w:rPr>
        <w:t>9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7310A">
        <w:rPr>
          <w:rFonts w:ascii="Times New Roman" w:hAnsi="Times New Roman"/>
          <w:b/>
          <w:sz w:val="20"/>
          <w:szCs w:val="20"/>
          <w:u w:val="single"/>
        </w:rPr>
        <w:t>октября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A9007A">
        <w:rPr>
          <w:rFonts w:ascii="Times New Roman" w:hAnsi="Times New Roman"/>
          <w:sz w:val="20"/>
          <w:szCs w:val="20"/>
        </w:rPr>
        <w:t xml:space="preserve"> </w:t>
      </w:r>
      <w:r w:rsidR="00DB0CDD">
        <w:rPr>
          <w:rFonts w:ascii="Times New Roman" w:hAnsi="Times New Roman"/>
          <w:sz w:val="20"/>
          <w:szCs w:val="20"/>
        </w:rPr>
        <w:t>-1</w:t>
      </w:r>
      <w:r w:rsidR="000F3237">
        <w:rPr>
          <w:rFonts w:ascii="Times New Roman" w:hAnsi="Times New Roman"/>
          <w:sz w:val="20"/>
          <w:szCs w:val="20"/>
        </w:rPr>
        <w:t>4</w:t>
      </w:r>
      <w:bookmarkStart w:id="0" w:name="_GoBack"/>
      <w:bookmarkEnd w:id="0"/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D05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2C6D3F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97310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D0517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Теория и история права и государства.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Уголовное право и криминология.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Уголовный процесс, криминалистика и оперативно-розыскная деятельность.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Судебная власть, прокурорский надзор, организация правоохранительной деятельности.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Адми</w:t>
            </w:r>
            <w:r>
              <w:rPr>
                <w:rFonts w:ascii="Times New Roman" w:hAnsi="Times New Roman"/>
                <w:sz w:val="16"/>
                <w:szCs w:val="16"/>
              </w:rPr>
              <w:t>нистративное и гражданское право и процесс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Конституционное и муниципальное право.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Финансовое право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трудовое право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Международное частное право.</w:t>
            </w:r>
          </w:p>
          <w:p w:rsidR="009557AA" w:rsidRPr="009557AA" w:rsidRDefault="009557AA" w:rsidP="00A9007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9558ED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к.ю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9558ED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ED">
              <w:rPr>
                <w:rFonts w:ascii="Times New Roman" w:hAnsi="Times New Roman"/>
                <w:b/>
                <w:sz w:val="20"/>
                <w:szCs w:val="20"/>
              </w:rPr>
              <w:t>САМОЗАЩИТА ГРАЖДАНСКИХ ПРАВ В ДОГОВОРНЫХ ОТНОШЕНИЯХ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9558ED" w:rsidRPr="009558E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Самозащита гражданских прав в договорных отношениях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E1" w:rsidRDefault="000436E1" w:rsidP="009D4EA3">
      <w:pPr>
        <w:spacing w:after="0" w:line="240" w:lineRule="auto"/>
      </w:pPr>
      <w:r>
        <w:separator/>
      </w:r>
    </w:p>
  </w:endnote>
  <w:endnote w:type="continuationSeparator" w:id="0">
    <w:p w:rsidR="000436E1" w:rsidRDefault="000436E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E1" w:rsidRDefault="000436E1" w:rsidP="009D4EA3">
      <w:pPr>
        <w:spacing w:after="0" w:line="240" w:lineRule="auto"/>
      </w:pPr>
      <w:r>
        <w:separator/>
      </w:r>
    </w:p>
  </w:footnote>
  <w:footnote w:type="continuationSeparator" w:id="0">
    <w:p w:rsidR="000436E1" w:rsidRDefault="000436E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436E1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0F3237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C6D3F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2296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4F63D6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C0347"/>
    <w:rsid w:val="005F2E9C"/>
    <w:rsid w:val="005F3B80"/>
    <w:rsid w:val="006110D2"/>
    <w:rsid w:val="00614718"/>
    <w:rsid w:val="00623C40"/>
    <w:rsid w:val="00627720"/>
    <w:rsid w:val="00637751"/>
    <w:rsid w:val="00642F8C"/>
    <w:rsid w:val="006437A3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B53D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3990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58ED"/>
    <w:rsid w:val="009564DD"/>
    <w:rsid w:val="00965E5D"/>
    <w:rsid w:val="00967F76"/>
    <w:rsid w:val="0097310A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007A"/>
    <w:rsid w:val="00A91D26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511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E2F23"/>
    <w:rsid w:val="00CF1646"/>
    <w:rsid w:val="00D01310"/>
    <w:rsid w:val="00D016FE"/>
    <w:rsid w:val="00D0517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04C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0CDD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EBA1-E30D-46F8-AC5D-D1B1FCC6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879</Words>
  <Characters>6319</Characters>
  <Application>Microsoft Office Word</Application>
  <DocSecurity>0</DocSecurity>
  <Lines>170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6</cp:revision>
  <cp:lastPrinted>2017-06-22T07:10:00Z</cp:lastPrinted>
  <dcterms:created xsi:type="dcterms:W3CDTF">2017-06-28T11:23:00Z</dcterms:created>
  <dcterms:modified xsi:type="dcterms:W3CDTF">2017-07-05T20:53:00Z</dcterms:modified>
</cp:coreProperties>
</file>