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EEBE80C" w:rsidR="006B0CC2" w:rsidRPr="006B0CC2" w:rsidRDefault="00F01443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ПРИОРИТЕТНЫЕ НАПРАВЛЕНИЯ НАУЧНЫХ ИССЛЕДОВАНИЙ. АНАЛИЗ, УПРАВЛЕНИЕ, ПЕРСПЕКТИВЫ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24FA16FD" w:rsidR="006B0CC2" w:rsidRPr="006B0CC2" w:rsidRDefault="00F01443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января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CBA656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F01443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Ижевск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6823BCE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F01443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KON-412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19B8795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F01443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января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1C8944D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01443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KON-412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F01443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03171EF" w:rsidR="006B0CC2" w:rsidRPr="00CC4F04" w:rsidRDefault="00F01443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KON-412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134FF0D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F0144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ПРИОРИТЕТНЫЕ НАПРАВЛЕНИЯ НАУЧНЫХ ИССЛЕДОВАНИЙ. АНАЛИЗ, УПРАВЛЕНИЕ, ПЕРСПЕКТИВЫ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F0144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Ижевск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F0144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января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3B82AABF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F01443">
      <w:rPr>
        <w:rFonts w:ascii="Trebuchet MS" w:hAnsi="Trebuchet MS"/>
        <w:sz w:val="18"/>
        <w:szCs w:val="18"/>
      </w:rPr>
      <w:t>ПРИОРИТЕТНЫЕ НАПРАВЛЕНИЯ НАУЧНЫХ ИССЛЕДОВАНИЙ. АНАЛИЗ, УПРАВЛЕНИЕ, ПЕРСПЕКТИВЫ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F0144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2021-11-18T13:01:00Z</dcterms:created>
  <dcterms:modified xsi:type="dcterms:W3CDTF">2021-11-18T13:01:00Z</dcterms:modified>
</cp:coreProperties>
</file>